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rPr>
          <w:rFonts w:hint="eastAsia" w:ascii="宋体" w:hAnsi="宋体" w:eastAsia="宋体" w:cs="宋体"/>
          <w:sz w:val="32"/>
          <w:szCs w:val="32"/>
          <w:lang w:val="en-US"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32"/>
          <w:szCs w:val="32"/>
          <w:lang w:val="en-US" w:eastAsia="zh-CN"/>
        </w:rPr>
        <w:t>土改对农民思想的深入影响</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王雅馨   2013201517</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土改，作为中国共产党建政前后的重要运动，已经被革命史学定义为其政治成功的重要经验</w:t>
      </w:r>
      <w:r>
        <w:rPr>
          <w:rFonts w:hint="eastAsia" w:ascii="宋体" w:hAnsi="宋体" w:eastAsia="宋体" w:cs="宋体"/>
          <w:sz w:val="28"/>
          <w:szCs w:val="28"/>
          <w:lang w:eastAsia="zh-CN"/>
        </w:rPr>
        <w:t>。</w:t>
      </w:r>
      <w:r>
        <w:rPr>
          <w:rFonts w:hint="eastAsia" w:ascii="宋体" w:hAnsi="宋体" w:eastAsia="宋体" w:cs="宋体"/>
          <w:sz w:val="28"/>
          <w:szCs w:val="28"/>
        </w:rPr>
        <w:t>近年来兴起的反思性研究则注意到诉苦作为思想操作和政治动员的功能性作用，并注意到这种功能呈现出作用递减的效应</w:t>
      </w:r>
      <w:r>
        <w:rPr>
          <w:rFonts w:hint="eastAsia" w:ascii="宋体" w:hAnsi="宋体" w:eastAsia="宋体" w:cs="宋体"/>
          <w:sz w:val="28"/>
          <w:szCs w:val="28"/>
          <w:lang w:val="en-US" w:eastAsia="zh-CN"/>
        </w:rPr>
        <w:t>,</w:t>
      </w:r>
      <w:r>
        <w:rPr>
          <w:rFonts w:hint="eastAsia" w:ascii="宋体" w:hAnsi="宋体" w:eastAsia="宋体" w:cs="宋体"/>
          <w:sz w:val="28"/>
          <w:szCs w:val="28"/>
        </w:rPr>
        <w:t>从而带出了诉苦是否真正能引出农民的话语，即让农民享有说真话权利的问题</w:t>
      </w:r>
      <w:r>
        <w:rPr>
          <w:rFonts w:hint="eastAsia" w:ascii="宋体" w:hAnsi="宋体" w:eastAsia="宋体" w:cs="宋体"/>
          <w:sz w:val="28"/>
          <w:szCs w:val="28"/>
          <w:lang w:eastAsia="zh-CN"/>
        </w:rPr>
        <w:t>。</w:t>
      </w:r>
      <w:r>
        <w:rPr>
          <w:rFonts w:hint="eastAsia" w:ascii="宋体" w:hAnsi="宋体" w:eastAsia="宋体" w:cs="宋体"/>
          <w:sz w:val="28"/>
          <w:szCs w:val="28"/>
        </w:rPr>
        <w:t>这样，农民是否能够说话，尤其是是否能够说真话就构成了学界如何理解诉苦的关键</w:t>
      </w:r>
      <w:r>
        <w:rPr>
          <w:rFonts w:hint="eastAsia" w:ascii="宋体" w:hAnsi="宋体" w:eastAsia="宋体" w:cs="宋体"/>
          <w:sz w:val="28"/>
          <w:szCs w:val="28"/>
          <w:lang w:eastAsia="zh-CN"/>
        </w:rPr>
        <w:t>“</w:t>
      </w:r>
      <w:r>
        <w:rPr>
          <w:rFonts w:hint="eastAsia" w:ascii="宋体" w:hAnsi="宋体" w:eastAsia="宋体" w:cs="宋体"/>
          <w:sz w:val="28"/>
          <w:szCs w:val="28"/>
        </w:rPr>
        <w:t>翻身</w:t>
      </w:r>
      <w:r>
        <w:rPr>
          <w:rFonts w:hint="eastAsia" w:ascii="宋体" w:hAnsi="宋体" w:eastAsia="宋体" w:cs="宋体"/>
          <w:sz w:val="28"/>
          <w:szCs w:val="28"/>
          <w:lang w:val="en-US" w:eastAsia="zh-CN"/>
        </w:rPr>
        <w:t>”</w:t>
      </w:r>
      <w:r>
        <w:rPr>
          <w:rFonts w:hint="eastAsia" w:ascii="宋体" w:hAnsi="宋体" w:eastAsia="宋体" w:cs="宋体"/>
          <w:sz w:val="28"/>
          <w:szCs w:val="28"/>
        </w:rPr>
        <w:t>和阶级论的支配叙事耳熟能详，而反思性研究则集中探寻诉苦与革命叙事史的关系，以思考农民与革命阶级化叙事与农民日常生活经验的关系</w:t>
      </w:r>
      <w:r>
        <w:rPr>
          <w:rFonts w:hint="eastAsia" w:ascii="宋体" w:hAnsi="宋体" w:eastAsia="宋体" w:cs="宋体"/>
          <w:sz w:val="28"/>
          <w:szCs w:val="28"/>
          <w:lang w:eastAsia="zh-CN"/>
        </w:rPr>
        <w:t>。</w:t>
      </w:r>
      <w:r>
        <w:rPr>
          <w:rFonts w:hint="eastAsia" w:ascii="宋体" w:hAnsi="宋体" w:eastAsia="宋体" w:cs="宋体"/>
          <w:sz w:val="28"/>
          <w:szCs w:val="28"/>
        </w:rPr>
        <w:t>土改这样是对农民原有生活和心理认知的一个冲击，比如划阶级成分是对所有农民个人生活和思想的一次介入，它破天荒地在农民的头脑中，将人与人的关系分出有“敌、我”界限的阵营，改变了每一个农民看待社会与个人的方法。这一点不仅让农民从心理上与地主分了家，更是唤起了农民潜藏心底的权力欲望。一个人的出身和过去贫穷的程度，成为他得到各种社会资源和政治地位的底牌。</w:t>
      </w:r>
    </w:p>
    <w:p>
      <w:pPr>
        <w:rPr>
          <w:rFonts w:hint="eastAsia" w:ascii="宋体" w:hAnsi="宋体" w:eastAsia="宋体" w:cs="宋体"/>
          <w:sz w:val="24"/>
          <w:szCs w:val="24"/>
          <w:lang w:eastAsia="zh-CN"/>
        </w:rPr>
      </w:pPr>
    </w:p>
    <w:p>
      <w:pPr>
        <w:rPr>
          <w:rFonts w:hint="eastAsia" w:ascii="宋体" w:hAnsi="宋体" w:eastAsia="宋体" w:cs="宋体"/>
          <w:sz w:val="24"/>
          <w:szCs w:val="24"/>
          <w:lang w:eastAsia="zh-CN"/>
        </w:rPr>
      </w:pPr>
      <w:r>
        <w:rPr>
          <w:rFonts w:hint="eastAsia" w:ascii="宋体" w:hAnsi="宋体" w:eastAsia="宋体" w:cs="宋体"/>
          <w:sz w:val="24"/>
          <w:szCs w:val="24"/>
          <w:lang w:eastAsia="zh-CN"/>
        </w:rPr>
        <w:t>——在土改中农民“话语权”</w:t>
      </w:r>
    </w:p>
    <w:p>
      <w:pPr>
        <w:rPr>
          <w:rFonts w:hint="eastAsia" w:ascii="宋体" w:hAnsi="宋体" w:eastAsia="宋体" w:cs="宋体"/>
          <w:sz w:val="24"/>
          <w:szCs w:val="24"/>
          <w:lang w:eastAsia="zh-CN"/>
        </w:rPr>
      </w:pP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作为中国乡村社会变迁和国家政权建设的一个重要环节,土地改革运动已在中外学界的普遍关注下积累了丰富的研究文献。早期研究成果多为通论性著作,重于共产党土地政策的演变以及在各地实施的总体情形,而较少关注基层的微观土改实践。但近年来随着社会学和政治学研究者的介入,土地改革研究开始从国家层面、制度层面深入到村庄层面、实践层面,涉及土改运动中的权力运作、民众动员、行为机制、集体记忆等诸多内容,极大地丰富了人们对这一历史事件的细节性认知。在吴毅，陈昕发表的《“说话”的可能性——对土改“诉苦”的再反思》，主要针对革命史和革命文学叙事的真实性进行质疑，提到了韩丁的《翻身》，被德里克批评为“理想化”了土改。认为农民成为被改造者就完全失去了说( 真) 话的意愿与能力，即需要深入分析。或者忽略了农民作为思想和话语的行为主体在面对政治操作时可能具有的复杂反应。特定的叙事方式有无可能遮蔽农民说话的真实性，也需要做进一步的实证和理论研究。</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数千年来，中国都是农耕立国。社会上的各种矛盾的焦点，最后都集中在士地和土地的产品上。说得具体点，中国直到改革开放前，因为工商业和科技文化事业都很落后，中国人的生存主要是依赖土地。那么这块土地的大蛋糕，必然会受到各方的垂涎，必然会因为如何切分的问题，而引发种种矛盾事端，甚至发生战争，如农民起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560" w:firstLineChars="200"/>
        <w:rPr>
          <w:rFonts w:hint="default"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不过暴力土改的方式，虽然残酷</w:t>
      </w:r>
      <w:r>
        <w:rPr>
          <w:rFonts w:hint="eastAsia" w:ascii="宋体" w:hAnsi="宋体" w:eastAsia="宋体" w:cs="宋体"/>
          <w:kern w:val="2"/>
          <w:sz w:val="28"/>
          <w:szCs w:val="28"/>
          <w:lang w:val="en-US" w:eastAsia="zh-CN" w:bidi="ar-SA"/>
        </w:rPr>
        <w:t>、</w:t>
      </w:r>
      <w:r>
        <w:rPr>
          <w:rFonts w:hint="default" w:ascii="宋体" w:hAnsi="宋体" w:eastAsia="宋体" w:cs="宋体"/>
          <w:kern w:val="2"/>
          <w:sz w:val="28"/>
          <w:szCs w:val="28"/>
          <w:lang w:val="en-US" w:eastAsia="zh-CN" w:bidi="ar-SA"/>
        </w:rPr>
        <w:t>血腥，但边区政府，借此方式也确曾一时改善了中国最贫苦的社会阶层，比如农村的流氓无产者，和贫农佃农，得到了社会地位的大提高，及经济利益的改善。尔后也以此为基础，加上美好目标做号召，获得了大量兵员和财富的来原，作为内战的资本。所以说中国革命是以农村包围城市方式完成的，不同于苏联城市起义方式。近代史中通常也称1927---1937为土地革命时期。其实向上追溯到井冈山时期的“打土豪，分田地”，向下延续1947年的边区土改和1949年之后的全国土改，都是在持续不断地进行土地革命，以巩固所获得的革命成果，和持续从广大农村获得经济资源。过去是为了打仗，以后就是为社会主义建设积累资金了。包括支撑越来越厐大党政两套系统的开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560" w:firstLineChars="200"/>
        <w:rPr>
          <w:rFonts w:hint="default" w:ascii="宋体" w:hAnsi="宋体" w:eastAsia="宋体" w:cs="宋体"/>
          <w:kern w:val="2"/>
          <w:sz w:val="28"/>
          <w:szCs w:val="28"/>
          <w:lang w:val="en-US" w:eastAsia="zh-CN"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right="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——“诉苦”方式的提出</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right="0"/>
        <w:rPr>
          <w:rFonts w:hint="eastAsia" w:ascii="宋体" w:hAnsi="宋体" w:eastAsia="宋体" w:cs="宋体"/>
          <w:kern w:val="2"/>
          <w:sz w:val="24"/>
          <w:szCs w:val="24"/>
          <w:lang w:val="en-US" w:eastAsia="zh-CN" w:bidi="ar-SA"/>
        </w:rPr>
      </w:pP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在1940年代初，为了推行减租减息，各根据地就在以诉苦的方式发动农民，教育农民弄清自己为什么穷地主为什么富，启发农民对地主进行说理斗争。然而，此时农民的苦痛更为直接的还是出于对战乱的体验，只强调阶级苦难未必为农民完全认同。在民族矛盾当前的情况下，底层即使身陷贫困，阶级学说也未必会为他们全盘接受，</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从经验上看，对于社会苦难的重新塑造恰与抗战后期民族矛盾消解和国共之争重新凸显相叠合，而这无疑也就提供了将民族矛盾转换为阶级矛盾的契机。1945年战争尘埃甫定，中国共产党在其新接手的地区开展了大规模的“反奸诉苦”运动，成功发动起深受战争创伤的群众，让他们所曾经历的苦难有了渲泄的渠道和对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right="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贫农欢喜,中农怀疑,富农怕斗,地主怕死。”1947年初察哈尔省委对土改前夕各阶层心态所作的这一描述。共产党领导下的土地改革运动,不仅是20世纪后半期中国乡村“有计划的社会变迁”的宏伟开端,也是决定每一个乡村社会成员之前途命运的事件。何高潮用博弈论方法研究抗日根据地的减租减息运动,认为政策实施的对象具有主观能动性,因而革命中的关键问题,就在于通过政策去引导人们的特定行为,以达到既能动员农民、又能弱化地主反抗的境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土改运动以强力再分配的形式,剥夺传统精英的土地财产无偿分配给贫苦农民,后者无疑是最大的受益者。但是绝大多数农民并不是一开始就愿意或敢于接受无偿分配的土地财产,至于对传统精英开展“面对面”的斗争,则更使他们感到为难。其中既有传统道德观念的影响,也与他们对宏观政治形势的判断密切相关,他们最担心的是,八路军、共产党、工作队这些前来帮助自己“翻身”的人能不能“站得住”,会不会“变天”。所以在运动初期,不但发动农民起来斗争需要经过反复动员,连分配斗争果实都并不顺利,许多贫苦农民因为种种顾虑而不敢要地要物,一些游民、流氓、无赖反有了捞取好处的机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一些不甘心被剥夺的地主、富农,还可能针对工作队、村干部和普通群众,采取各种政治上的、积极进取的应对策略,以争取在乡村社会中的有利位置,其中最常见的两种做法是拉拢干部和争取舆论。在乡村权势发生转移后,过去的边缘分子如今成了掌握权力的村干部,地富要想在群众运动中争取稍好的地位和处境,就不得不与这些新型政治精英搞好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韩丁在《翻身》中描述了这样一个细节:汉奸地主申计梅被公审枪毙之后,他的“尸体还没凉,张庄的一个民兵玉兴就把他的毛衣从身上扒下来,另外一个人把他的鞋脱了下来。尸首留给他的亲属去埋葬。”这个看起来残酷的细节展现出,农民们关于苦难的记忆和对阶级敌人的仇恨,与他们的生存需求密不可分,共同构成了群众运动的基本动力。群众运动最初总是由少数政治精英和积极分子发动的,但是当斗争进入一定阶段的时候,广大农民就会在利益驱动下卷入其间,形成真正的群众性运动。如一份土改文件所说:“对地主斗争之开始,原非群众行动,而只为少数村干所包办,但弄出东西之后,却变成群众问题。”各地土改运动之所以时常出现过激化倾向,除了资源总量的限制和政策运作的偏差之外,农民的物质欲望和平均思想被激发,也是不可忽视的原因之一。一旦他们认定了平均主义的价值取向,就很难容忍他人比自己过得好。韩丁认为党所制定的政策对农民来说过于复杂,例如他们很难弄清地主兼资本家的“双重身份”和党的工商业政策,而是固执地认定“地主就是地主,富农就是富农,剥削者就是剥削者”。其实政策的复杂性只是问题的一方面,他们对阶级概念超乎寻常的固执态度,显然是与获取更多物质利益的动机密切相关的,忽略了地主的双重身份和保护工商业的政策,就可以将其土地、房屋、牲畜、浮财、店铺等全部没收,农民也就有了更多的财富可供分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历史地来看，土改期间共产党与农民的互动是一个颇为复杂的政治过程，往往并不像利益论者想当然认为的那样简单。一方面，中共各级领导层的确强调满足贫雇农的经济要求，但在战略上也始终对土改的政治与思想</w:t>
      </w:r>
      <w:r>
        <w:rPr>
          <w:rFonts w:hint="default" w:ascii="宋体" w:hAnsi="宋体" w:eastAsia="宋体" w:cs="宋体"/>
          <w:kern w:val="2"/>
          <w:sz w:val="28"/>
          <w:szCs w:val="28"/>
          <w:lang w:val="en-US" w:eastAsia="zh-CN" w:bidi="ar-SA"/>
        </w:rPr>
        <w:t>“</w:t>
      </w:r>
      <w:r>
        <w:rPr>
          <w:rFonts w:hint="eastAsia" w:ascii="宋体" w:hAnsi="宋体" w:eastAsia="宋体" w:cs="宋体"/>
          <w:kern w:val="2"/>
          <w:sz w:val="28"/>
          <w:szCs w:val="28"/>
          <w:lang w:val="en-US" w:eastAsia="zh-CN" w:bidi="ar-SA"/>
        </w:rPr>
        <w:t>果实</w:t>
      </w:r>
      <w:r>
        <w:rPr>
          <w:rFonts w:hint="default" w:ascii="宋体" w:hAnsi="宋体" w:eastAsia="宋体" w:cs="宋体"/>
          <w:kern w:val="2"/>
          <w:sz w:val="28"/>
          <w:szCs w:val="28"/>
          <w:lang w:val="en-US" w:eastAsia="zh-CN" w:bidi="ar-SA"/>
        </w:rPr>
        <w:t>”</w:t>
      </w:r>
      <w:r>
        <w:rPr>
          <w:rFonts w:hint="eastAsia" w:ascii="宋体" w:hAnsi="宋体" w:eastAsia="宋体" w:cs="宋体"/>
          <w:kern w:val="2"/>
          <w:sz w:val="28"/>
          <w:szCs w:val="28"/>
          <w:lang w:val="en-US" w:eastAsia="zh-CN" w:bidi="ar-SA"/>
        </w:rPr>
        <w:t>高度重视。这正是共产党放弃</w:t>
      </w:r>
      <w:r>
        <w:rPr>
          <w:rFonts w:hint="default" w:ascii="宋体" w:hAnsi="宋体" w:eastAsia="宋体" w:cs="宋体"/>
          <w:kern w:val="2"/>
          <w:sz w:val="28"/>
          <w:szCs w:val="28"/>
          <w:lang w:val="en-US" w:eastAsia="zh-CN" w:bidi="ar-SA"/>
        </w:rPr>
        <w:t>“</w:t>
      </w:r>
      <w:r>
        <w:rPr>
          <w:rFonts w:hint="eastAsia" w:ascii="宋体" w:hAnsi="宋体" w:eastAsia="宋体" w:cs="宋体"/>
          <w:kern w:val="2"/>
          <w:sz w:val="28"/>
          <w:szCs w:val="28"/>
          <w:lang w:val="en-US" w:eastAsia="zh-CN" w:bidi="ar-SA"/>
        </w:rPr>
        <w:t>和平土改</w:t>
      </w:r>
      <w:r>
        <w:rPr>
          <w:rFonts w:hint="default" w:ascii="宋体" w:hAnsi="宋体" w:eastAsia="宋体" w:cs="宋体"/>
          <w:kern w:val="2"/>
          <w:sz w:val="28"/>
          <w:szCs w:val="28"/>
          <w:lang w:val="en-US" w:eastAsia="zh-CN" w:bidi="ar-SA"/>
        </w:rPr>
        <w:t>”</w:t>
      </w:r>
      <w:r>
        <w:rPr>
          <w:rFonts w:hint="eastAsia" w:ascii="宋体" w:hAnsi="宋体" w:eastAsia="宋体" w:cs="宋体"/>
          <w:kern w:val="2"/>
          <w:sz w:val="28"/>
          <w:szCs w:val="28"/>
          <w:lang w:val="en-US" w:eastAsia="zh-CN" w:bidi="ar-SA"/>
        </w:rPr>
        <w:t>而要开展</w:t>
      </w:r>
      <w:r>
        <w:rPr>
          <w:rFonts w:hint="default" w:ascii="宋体" w:hAnsi="宋体" w:eastAsia="宋体" w:cs="宋体"/>
          <w:kern w:val="2"/>
          <w:sz w:val="28"/>
          <w:szCs w:val="28"/>
          <w:lang w:val="en-US" w:eastAsia="zh-CN" w:bidi="ar-SA"/>
        </w:rPr>
        <w:t>“</w:t>
      </w:r>
      <w:r>
        <w:rPr>
          <w:rFonts w:hint="eastAsia" w:ascii="宋体" w:hAnsi="宋体" w:eastAsia="宋体" w:cs="宋体"/>
          <w:kern w:val="2"/>
          <w:sz w:val="28"/>
          <w:szCs w:val="28"/>
          <w:lang w:val="en-US" w:eastAsia="zh-CN" w:bidi="ar-SA"/>
        </w:rPr>
        <w:t>阶级斗争</w:t>
      </w:r>
      <w:r>
        <w:rPr>
          <w:rFonts w:hint="default" w:ascii="宋体" w:hAnsi="宋体" w:eastAsia="宋体" w:cs="宋体"/>
          <w:kern w:val="2"/>
          <w:sz w:val="28"/>
          <w:szCs w:val="28"/>
          <w:lang w:val="en-US" w:eastAsia="zh-CN" w:bidi="ar-SA"/>
        </w:rPr>
        <w:t>”</w:t>
      </w:r>
      <w:r>
        <w:rPr>
          <w:rFonts w:hint="eastAsia" w:ascii="宋体" w:hAnsi="宋体" w:eastAsia="宋体" w:cs="宋体"/>
          <w:kern w:val="2"/>
          <w:sz w:val="28"/>
          <w:szCs w:val="28"/>
          <w:lang w:val="en-US" w:eastAsia="zh-CN" w:bidi="ar-SA"/>
        </w:rPr>
        <w:t>（不等于是无原则地鼓动暴力土改）的一个重要原因。另外，从农民（让我们暂时忽略其内部构成的复杂性）这方面来看，物质利益也只是参与“阶级斗争”的必要前提，而远未构成充分条件&amp;事实上，不少普通农民对共产党解决土地问题的革命方案一度不支持乃至相当排斥，土改中频繁出现的农民拒绝要地或退地的举动就是明证。风险顾虑（当时叫“变天”思想）当然是一个重要原因。更值得注意的是，从当时的公开报道或内部报告也不时地传出诸如“翻身是亏良心”之类的历史“杂音”，而它们的制造者——即那些在阶级斗争中一度表现消极的农民——则常被描述为思想“顽固”、“落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如何评价总结半个多世纪前的这场腥风血雨的大运动，可能要尚待时日。但周立波写土改的小说《暴风骤雨》，和另一作家丁玲也是写土改的长篇小说《太阳照在桑乾河上》，还有贺敬之等写的，也与土改密切相关的戏剧《白毛女》，均获得斯大林的文学奨。说明中国的暴力土改，并非中国特色，其所来有自。即使不能说是完全照搬苏联模式，但说中国是在效仿苏联斯大林的农业政策，所谓走“苏俄的路，这就是结论”， 应该是言之不谬的。</w:t>
      </w:r>
    </w:p>
    <w:p>
      <w:pP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诉苦是土地改革留给中国农民的一段特殊记忆，它同时也是1950-1970年代全体中国民众的特殊记忆，作为革命年代重要的政治仪式，它实质上构成了以阶级斗争为底色的革命政治文化的重要基础，并以忆苦思甜的方式，穿越土改而成为其后历次政治运动的重要内容。因此，对于土改诉苦中农民说话问题的研究，也就成为今人理解革命年代政治文化和民众话语权利的一把钥匙。</w:t>
      </w:r>
    </w:p>
    <w:p>
      <w:pP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诉苦以动员农民说话，动员农民进入新政治为始，以规范农民说话，将其培塑为政治权力的传感器为终，这一过程，自然不是传统的革命史叙事模式所能解释的，也因此，“质疑革命叙事”论有一定的影响力。但是，后者却没有办法解释诉苦对于调动农民政治积极性所曾产生的巨大作用“政治规训”论和“工具动员”论倒是有相当的解释力，但是它们却有意无意地将农民看作完全被动接受权力话语模式支配的“提线木偶”，没有注意到他们作为行为主体对规训和动员所具有的多重复杂反应。因此，它们在强调权力话语自上而下的输入之时，却不能解释这种输入的绩效，尤其无法解释其中长期绩效，以至于不能说明后革命状态下农民由积极转为消极，直至最终走到对政治的消沉、疏远与应付的趋势。</w:t>
      </w:r>
    </w:p>
    <w:p>
      <w:pPr>
        <w:rPr>
          <w:rFonts w:hint="eastAsia" w:ascii="宋体" w:hAnsi="宋体" w:eastAsia="宋体" w:cs="宋体"/>
          <w:kern w:val="2"/>
          <w:sz w:val="28"/>
          <w:szCs w:val="28"/>
          <w:lang w:val="en-US" w:eastAsia="zh-CN" w:bidi="ar-SA"/>
        </w:rPr>
      </w:pPr>
    </w:p>
    <w:p>
      <w:pP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参考文献：</w:t>
      </w:r>
    </w:p>
    <w:p>
      <w:pPr>
        <w:keepNext w:val="0"/>
        <w:keepLines w:val="0"/>
        <w:widowControl/>
        <w:numPr>
          <w:ilvl w:val="0"/>
          <w:numId w:val="1"/>
        </w:numPr>
        <w:suppressLineNumbers w:val="0"/>
        <w:tabs>
          <w:tab w:val="left" w:pos="720"/>
        </w:tabs>
        <w:spacing w:before="0" w:beforeAutospacing="1" w:after="0" w:afterAutospacing="1" w:line="240" w:lineRule="auto"/>
        <w:ind w:left="720" w:hanging="360"/>
        <w:jc w:val="both"/>
        <w:rPr>
          <w:rFonts w:hint="default" w:ascii="Verdana" w:hAnsi="Verdana" w:cs="Verdana"/>
          <w:sz w:val="21"/>
          <w:szCs w:val="21"/>
        </w:rPr>
      </w:pPr>
      <w:r>
        <w:rPr>
          <w:rFonts w:hint="default" w:ascii="Verdana" w:hAnsi="Verdana" w:cs="Verdana"/>
          <w:b w:val="0"/>
          <w:i w:val="0"/>
          <w:caps w:val="0"/>
          <w:color w:val="000000"/>
          <w:spacing w:val="0"/>
          <w:sz w:val="21"/>
          <w:szCs w:val="21"/>
          <w:shd w:val="clear" w:fill="FFFFFF"/>
        </w:rPr>
        <w:t>吴毅, 陈颀. "说话“的可能性对土改“诉苦”的再反思[R]. 北京:社会变迁视角下当代中国农 地制度发展与改革研究, 2011. 20-23</w:t>
      </w:r>
    </w:p>
    <w:p>
      <w:pPr>
        <w:keepNext w:val="0"/>
        <w:keepLines w:val="0"/>
        <w:widowControl/>
        <w:numPr>
          <w:ilvl w:val="0"/>
          <w:numId w:val="1"/>
        </w:numPr>
        <w:suppressLineNumbers w:val="0"/>
        <w:tabs>
          <w:tab w:val="left" w:pos="720"/>
        </w:tabs>
        <w:spacing w:before="0" w:beforeAutospacing="1" w:after="0" w:afterAutospacing="1" w:line="240" w:lineRule="auto"/>
        <w:ind w:left="720" w:hanging="360"/>
        <w:jc w:val="both"/>
        <w:rPr>
          <w:rFonts w:hint="default" w:ascii="Verdana" w:hAnsi="Verdana" w:cs="Verdana"/>
          <w:sz w:val="21"/>
          <w:szCs w:val="21"/>
        </w:rPr>
      </w:pPr>
      <w:r>
        <w:rPr>
          <w:rFonts w:hint="default" w:ascii="Verdana" w:hAnsi="Verdana" w:cs="Verdana"/>
          <w:b w:val="0"/>
          <w:i w:val="0"/>
          <w:caps w:val="0"/>
          <w:color w:val="000000"/>
          <w:spacing w:val="0"/>
          <w:sz w:val="21"/>
          <w:szCs w:val="21"/>
          <w:shd w:val="clear" w:fill="FFFFFF"/>
        </w:rPr>
        <w:t>李里峰. “运动”中的理性人 　　———华北土改期间各阶层的形势判断和行为选择 [C]. 天津:南开大学, 2004. 12-15</w:t>
      </w:r>
    </w:p>
    <w:p>
      <w:pPr>
        <w:keepNext w:val="0"/>
        <w:keepLines w:val="0"/>
        <w:widowControl/>
        <w:numPr>
          <w:ilvl w:val="0"/>
          <w:numId w:val="1"/>
        </w:numPr>
        <w:suppressLineNumbers w:val="0"/>
        <w:tabs>
          <w:tab w:val="left" w:pos="720"/>
        </w:tabs>
        <w:spacing w:before="0" w:beforeAutospacing="1" w:after="0" w:afterAutospacing="1" w:line="240" w:lineRule="auto"/>
        <w:ind w:left="720" w:hanging="360"/>
        <w:jc w:val="both"/>
        <w:rPr>
          <w:rFonts w:hint="default" w:ascii="Verdana" w:hAnsi="Verdana" w:cs="Verdana"/>
          <w:sz w:val="21"/>
          <w:szCs w:val="21"/>
        </w:rPr>
      </w:pPr>
      <w:r>
        <w:rPr>
          <w:rFonts w:hint="default" w:ascii="Verdana" w:hAnsi="Verdana" w:cs="Verdana"/>
          <w:b w:val="0"/>
          <w:i w:val="0"/>
          <w:caps w:val="0"/>
          <w:color w:val="000000"/>
          <w:spacing w:val="0"/>
          <w:sz w:val="21"/>
          <w:szCs w:val="21"/>
          <w:shd w:val="clear" w:fill="FFFFFF"/>
        </w:rPr>
        <w:t>李放春. 苦、革命教化与思想权力 !——北方土改期间的”翻心“实践[J]. 开 放 时 代, 2008, (5): 2-8</w:t>
      </w:r>
    </w:p>
    <w:p>
      <w:pPr>
        <w:keepNext w:val="0"/>
        <w:keepLines w:val="0"/>
        <w:widowControl/>
        <w:numPr>
          <w:ilvl w:val="0"/>
          <w:numId w:val="1"/>
        </w:numPr>
        <w:suppressLineNumbers w:val="0"/>
        <w:tabs>
          <w:tab w:val="left" w:pos="720"/>
        </w:tabs>
        <w:spacing w:before="0" w:beforeAutospacing="1" w:after="0" w:afterAutospacing="1" w:line="240" w:lineRule="auto"/>
        <w:ind w:left="720" w:hanging="360"/>
        <w:jc w:val="both"/>
        <w:rPr>
          <w:rFonts w:hint="default" w:ascii="Verdana" w:hAnsi="Verdana" w:cs="Verdana"/>
          <w:sz w:val="21"/>
          <w:szCs w:val="21"/>
        </w:rPr>
      </w:pPr>
      <w:r>
        <w:rPr>
          <w:rFonts w:hint="default" w:ascii="Verdana" w:hAnsi="Verdana" w:cs="Verdana"/>
          <w:b w:val="0"/>
          <w:i w:val="0"/>
          <w:caps w:val="0"/>
          <w:color w:val="000000"/>
          <w:spacing w:val="0"/>
          <w:sz w:val="21"/>
          <w:szCs w:val="21"/>
          <w:shd w:val="clear" w:fill="FFFFFF"/>
        </w:rPr>
        <w:t>李里峰. 土改中的诉苦:一种民众动员技术的微观分析[D]. 南京:南京大学, 2007. 5-13</w:t>
      </w:r>
    </w:p>
    <w:p>
      <w:pPr>
        <w:keepNext w:val="0"/>
        <w:keepLines w:val="0"/>
        <w:widowControl/>
        <w:numPr>
          <w:ilvl w:val="-1"/>
          <w:numId w:val="0"/>
        </w:numPr>
        <w:suppressLineNumbers w:val="0"/>
        <w:spacing w:before="0" w:beforeAutospacing="1" w:after="0" w:afterAutospacing="1" w:line="240" w:lineRule="auto"/>
        <w:ind w:left="360" w:leftChars="0"/>
        <w:jc w:val="both"/>
        <w:rPr>
          <w:rFonts w:hint="default" w:ascii="Verdana" w:hAnsi="Verdana" w:cs="Verdana"/>
          <w:sz w:val="21"/>
          <w:szCs w:val="21"/>
        </w:rPr>
      </w:pPr>
    </w:p>
    <w:p>
      <w:pPr>
        <w:pStyle w:val="2"/>
        <w:keepNext w:val="0"/>
        <w:keepLines w:val="0"/>
        <w:widowControl/>
        <w:suppressLineNumbers w:val="0"/>
        <w:shd w:val="clear" w:fill="FFFFFF"/>
        <w:spacing w:line="240" w:lineRule="auto"/>
        <w:ind w:left="0" w:firstLine="0"/>
        <w:jc w:val="both"/>
        <w:rPr>
          <w:rFonts w:hint="eastAsia" w:ascii="宋体" w:hAnsi="宋体" w:eastAsia="宋体" w:cs="宋体"/>
          <w:kern w:val="2"/>
          <w:sz w:val="28"/>
          <w:szCs w:val="28"/>
          <w:lang w:val="en-US" w:eastAsia="zh-CN" w:bidi="ar-SA"/>
        </w:rPr>
      </w:pPr>
      <w:r>
        <w:rPr>
          <w:rFonts w:hint="default" w:ascii="Verdana" w:hAnsi="Verdana" w:cs="Verdana"/>
          <w:b w:val="0"/>
          <w:i w:val="0"/>
          <w:caps w:val="0"/>
          <w:color w:val="000000"/>
          <w:spacing w:val="0"/>
          <w:sz w:val="21"/>
          <w:szCs w:val="21"/>
          <w:shd w:val="clear" w:fill="FFFFFF"/>
        </w:rPr>
        <w:pict>
          <v:shape id="_x0000_i1025" o:spt="201" type="#_x0000_t201" style="height:0pt;width:0.05pt;" filled="f" coordsize="21600,21600">
            <v:path/>
            <v:fill on="f" focussize="0,0"/>
            <v:stroke/>
            <v:imagedata o:title=""/>
            <o:lock v:ext="edit" aspectratio="t"/>
            <w10:wrap type="none"/>
            <w10:anchorlock/>
          </v:shape>
        </w:pict>
      </w:r>
      <w:r>
        <w:rPr>
          <w:rFonts w:hint="default" w:ascii="Verdana" w:hAnsi="Verdana" w:cs="Verdana"/>
          <w:b w:val="0"/>
          <w:i w:val="0"/>
          <w:caps w:val="0"/>
          <w:color w:val="000000"/>
          <w:spacing w:val="0"/>
          <w:sz w:val="21"/>
          <w:szCs w:val="21"/>
          <w:shd w:val="clear" w:fill="FFFFFF"/>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8884766">
    <w:nsid w:val="565C3A1E"/>
    <w:multiLevelType w:val="multilevel"/>
    <w:tmpl w:val="565C3A1E"/>
    <w:lvl w:ilvl="0" w:tentative="1">
      <w:start w:val="1"/>
      <w:numFmt w:val="decimal"/>
      <w:lvlText w:val="%1."/>
      <w:lvlJc w:val="left"/>
      <w:pPr>
        <w:tabs>
          <w:tab w:val="left" w:pos="720"/>
        </w:tabs>
        <w:ind w:left="720" w:hanging="360"/>
      </w:pPr>
      <w:rPr>
        <w:sz w:val="24"/>
        <w:szCs w:val="24"/>
      </w:rPr>
    </w:lvl>
    <w:lvl w:ilvl="1" w:tentative="1">
      <w:start w:val="1"/>
      <w:numFmt w:val="decimal"/>
      <w:lvlText w:val="%2."/>
      <w:lvlJc w:val="left"/>
      <w:pPr>
        <w:tabs>
          <w:tab w:val="left" w:pos="1440"/>
        </w:tabs>
        <w:ind w:left="1440" w:hanging="360"/>
      </w:pPr>
      <w:rPr>
        <w:sz w:val="24"/>
        <w:szCs w:val="24"/>
      </w:rPr>
    </w:lvl>
    <w:lvl w:ilvl="2" w:tentative="1">
      <w:start w:val="1"/>
      <w:numFmt w:val="decimal"/>
      <w:lvlText w:val="%3."/>
      <w:lvlJc w:val="left"/>
      <w:pPr>
        <w:tabs>
          <w:tab w:val="left" w:pos="2160"/>
        </w:tabs>
        <w:ind w:left="2160" w:hanging="360"/>
      </w:pPr>
      <w:rPr>
        <w:sz w:val="24"/>
        <w:szCs w:val="24"/>
      </w:rPr>
    </w:lvl>
    <w:lvl w:ilvl="3" w:tentative="1">
      <w:start w:val="1"/>
      <w:numFmt w:val="decimal"/>
      <w:lvlText w:val="%4."/>
      <w:lvlJc w:val="left"/>
      <w:pPr>
        <w:tabs>
          <w:tab w:val="left" w:pos="2517"/>
        </w:tabs>
        <w:ind w:left="2880" w:hanging="360"/>
      </w:pPr>
      <w:rPr>
        <w:sz w:val="24"/>
        <w:szCs w:val="24"/>
      </w:rPr>
    </w:lvl>
    <w:lvl w:ilvl="4" w:tentative="1">
      <w:start w:val="1"/>
      <w:numFmt w:val="decimal"/>
      <w:lvlText w:val="%5."/>
      <w:lvlJc w:val="left"/>
      <w:pPr>
        <w:tabs>
          <w:tab w:val="left" w:pos="3238"/>
        </w:tabs>
        <w:ind w:left="3600" w:hanging="360"/>
      </w:pPr>
      <w:rPr>
        <w:sz w:val="24"/>
        <w:szCs w:val="24"/>
      </w:rPr>
    </w:lvl>
    <w:lvl w:ilvl="5" w:tentative="1">
      <w:start w:val="1"/>
      <w:numFmt w:val="decimal"/>
      <w:lvlText w:val="%6."/>
      <w:lvlJc w:val="left"/>
      <w:pPr>
        <w:tabs>
          <w:tab w:val="left" w:pos="3958"/>
        </w:tabs>
        <w:ind w:left="4320" w:hanging="360"/>
      </w:pPr>
      <w:rPr>
        <w:sz w:val="24"/>
        <w:szCs w:val="24"/>
      </w:rPr>
    </w:lvl>
    <w:lvl w:ilvl="6" w:tentative="1">
      <w:start w:val="1"/>
      <w:numFmt w:val="decimal"/>
      <w:lvlText w:val="%7."/>
      <w:lvlJc w:val="left"/>
      <w:pPr>
        <w:tabs>
          <w:tab w:val="left" w:pos="4678"/>
        </w:tabs>
        <w:ind w:left="5040" w:hanging="360"/>
      </w:pPr>
      <w:rPr>
        <w:sz w:val="24"/>
        <w:szCs w:val="24"/>
      </w:rPr>
    </w:lvl>
    <w:lvl w:ilvl="7" w:tentative="1">
      <w:start w:val="1"/>
      <w:numFmt w:val="decimal"/>
      <w:lvlText w:val="%8."/>
      <w:lvlJc w:val="left"/>
      <w:pPr>
        <w:tabs>
          <w:tab w:val="left" w:pos="5398"/>
        </w:tabs>
        <w:ind w:left="5760" w:hanging="360"/>
      </w:pPr>
      <w:rPr>
        <w:sz w:val="24"/>
        <w:szCs w:val="24"/>
      </w:rPr>
    </w:lvl>
    <w:lvl w:ilvl="8" w:tentative="1">
      <w:start w:val="1"/>
      <w:numFmt w:val="decimal"/>
      <w:lvlText w:val="%9."/>
      <w:lvlJc w:val="left"/>
      <w:pPr>
        <w:tabs>
          <w:tab w:val="left" w:pos="6118"/>
        </w:tabs>
        <w:ind w:left="6480" w:hanging="360"/>
      </w:pPr>
      <w:rPr>
        <w:sz w:val="24"/>
        <w:szCs w:val="24"/>
      </w:rPr>
    </w:lvl>
  </w:abstractNum>
  <w:num w:numId="1">
    <w:abstractNumId w:val="144888476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4F7F04"/>
    <w:rsid w:val="42972CBB"/>
    <w:rsid w:val="48B84099"/>
    <w:rsid w:val="4A2B65AA"/>
    <w:rsid w:val="4D442040"/>
    <w:rsid w:val="4F4F7F0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2015-11-27T06:55:00Z</dcterms:created>
  <dc:creator>Administrator</dc:creator>
  <cp:lastModifiedBy>Administrator</cp:lastModifiedBy>
  <dcterms:modified xsi:type="dcterms:W3CDTF">2015-11-30T12:07:05Z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